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12 (Clustering)</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required where various Other Contracting Authorities want to join with the Buyer to efficiently contract collectively under a single Call Off Contract rather than as separate individual Buyers under separate Call Off Contracts. </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color w:val="00000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person named as such in the Annex A to this Schedule which shall be incorporated into the Order Form. </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Cluster Members benefits under the Contract</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entered into this Call-Off Contract both for its own benefit and for the benefit the Cluster Members.  </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Cluster Members who are to benefit under the Call-Off Contract are identified Annex 1 to this Schedule which shall be included into Order Form.</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color w:val="000000"/>
          <w:sz w:val="24"/>
          <w:szCs w:val="24"/>
          <w:shd w:fill="auto" w:val="clear"/>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Cluster Members will be a third party beneficiary for the purposes of the CRTPA and may enforce the relevant provisions of a Call-Off Contract pursuant to CRTPA.  </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to a Call-Off Contract may in accordance with its provisions vary, terminate or rescind that Call-Off Contract or any part of it, without the consent of any Cluster Member.</w:t>
      </w: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color w:val="000000"/>
          <w:sz w:val="24"/>
          <w:szCs w:val="24"/>
          <w:shd w:fill="auto" w:val="clear"/>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enforcement rights granted to Cluster Members under Paragraph </w:t>
      </w:r>
      <w:r w:rsidDel="00000000" w:rsidR="00000000" w:rsidRPr="00000000">
        <w:rPr>
          <w:sz w:val="24"/>
          <w:szCs w:val="24"/>
          <w:rtl w:val="0"/>
        </w:rPr>
        <w:t xml:space="preserve">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are subject to the following provisions: </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color w:val="000000"/>
          <w:sz w:val="24"/>
          <w:szCs w:val="24"/>
          <w:shd w:fill="auto" w:val="clear"/>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enforce any provision of a Call-Off Contract on behalf of a Cluster Member; </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from a Cluster Member under the CRTPA to enforce a Call-Off Contract shall be brought by the Buyer if reasonably practicable for the Buyer and Cluster Member to do so; and</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limits and exclusions of liability in the Call-Off Contract shall apply to any claim to enforce a Call-Off Contract made by the Buyer on behalf of a Cluster Member and to any claim to enforce a Call-Off Contract made by a Cluster Member acting on its own behalf.</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that Cluster Members shall each receive the same Services from the Supplier the following adjustments will apply in relation to how the Call-Off Contract will operate in relation to the Buyer and Cluster Members:</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will be provided by the Supplier to each Cluster Member and Buyer separately; </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obligation in regards to reporting will be owed to each Cluster Member and Buyer separately;</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Cluster Members shall be entitled to separate invoices in respect of the provision of Deliverables; </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separate invoices will correlate to the Deliverables provided to the respective Buyer and Cluster Members;</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to be paid for the Deliverables shall be calculated on a per Cluster Member and Buyer basis and each Cluster Member and the Buyer shall be responsible for paying their respective Charges;</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color w:val="000000"/>
          <w:sz w:val="24"/>
          <w:szCs w:val="24"/>
          <w:shd w:fill="auto" w:val="clear"/>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Levels and corresponding Service Credits will be calculated in respect of each Cluster Member and Buyer, and they will be reported and deducted against Charges due by each respective Cluster Member and Buyer; and</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further adjustments as the Buyer and each Cluster Member may notify to the Supplier from time to time. </w:t>
      </w:r>
      <w:r w:rsidDel="00000000" w:rsidR="00000000" w:rsidRPr="00000000">
        <w:rPr>
          <w:rtl w:val="0"/>
        </w:rPr>
      </w:r>
    </w:p>
    <w:p w:rsidR="00000000" w:rsidDel="00000000" w:rsidP="00000000" w:rsidRDefault="00000000" w:rsidRPr="00000000" w14:paraId="00000019">
      <w:pPr>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 Cluster Members</w:t>
      </w:r>
    </w:p>
    <w:p w:rsidR="00000000" w:rsidDel="00000000" w:rsidP="00000000" w:rsidRDefault="00000000" w:rsidRPr="00000000" w14:paraId="0000001C">
      <w:pPr>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p w:rsidR="00000000" w:rsidDel="00000000" w:rsidP="00000000" w:rsidRDefault="00000000" w:rsidRPr="00000000" w14:paraId="0000001D">
            <w:pPr>
              <w:keepNext w:val="1"/>
              <w:keepLines w:val="1"/>
              <w:spacing w:before="200" w:line="276" w:lineRule="auto"/>
              <w:ind w:left="0" w:firstLine="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1E">
            <w:pPr>
              <w:keepNext w:val="1"/>
              <w:keepLines w:val="1"/>
              <w:spacing w:before="200" w:line="276" w:lineRule="auto"/>
              <w:ind w:left="0" w:firstLine="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1F">
            <w:pPr>
              <w:keepNext w:val="1"/>
              <w:keepLines w:val="1"/>
              <w:spacing w:before="200" w:line="276" w:lineRule="auto"/>
              <w:ind w:left="0" w:firstLine="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20">
            <w:pPr>
              <w:keepNext w:val="1"/>
              <w:keepLines w:val="1"/>
              <w:spacing w:before="200" w:line="276" w:lineRule="auto"/>
              <w:ind w:left="0" w:firstLine="0"/>
              <w:jc w:val="left"/>
              <w:rPr>
                <w:sz w:val="24"/>
                <w:szCs w:val="24"/>
              </w:rPr>
            </w:pPr>
            <w:r w:rsidDel="00000000" w:rsidR="00000000" w:rsidRPr="00000000">
              <w:rPr>
                <w:sz w:val="24"/>
                <w:szCs w:val="24"/>
                <w:rtl w:val="0"/>
              </w:rPr>
              <w:t xml:space="preserve">Special Terms</w:t>
            </w:r>
          </w:p>
        </w:tc>
      </w:tr>
      <w:tr>
        <w:trPr>
          <w:cantSplit w:val="0"/>
          <w:tblHeader w:val="0"/>
        </w:trPr>
        <w:tc>
          <w:tcPr/>
          <w:p w:rsidR="00000000" w:rsidDel="00000000" w:rsidP="00000000" w:rsidRDefault="00000000" w:rsidRPr="00000000" w14:paraId="00000021">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2">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4">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5">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6">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8">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9">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A">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C">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D">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E">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F">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30">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0"/>
          <w:strike w:val="0"/>
          <w:color w:val="000000"/>
          <w:sz w:val="24"/>
          <w:szCs w:val="24"/>
          <w:u w:val="single"/>
          <w:shd w:fill="auto" w:val="clear"/>
          <w:vertAlign w:val="baseline"/>
        </w:rPr>
      </w:pPr>
      <w:r w:rsidDel="00000000" w:rsidR="00000000" w:rsidRPr="00000000">
        <w:rPr>
          <w:rtl w:val="0"/>
        </w:rPr>
      </w:r>
    </w:p>
    <w:sectPr>
      <w:headerReference r:id="rId6" w:type="default"/>
      <w:footerReference r:id="rId7" w:type="default"/>
      <w:footerReference r:id="rId8"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RM6308</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12 (Clustering)</w:t>
    </w:r>
    <w:r w:rsidDel="00000000" w:rsidR="00000000" w:rsidRPr="00000000">
      <w:rPr>
        <w:rtl w:val="0"/>
      </w:rPr>
    </w:r>
  </w:p>
  <w:p w:rsidR="00000000" w:rsidDel="00000000" w:rsidP="00000000" w:rsidRDefault="00000000" w:rsidRPr="00000000" w14:paraId="00000033">
    <w:pPr>
      <w:tabs>
        <w:tab w:val="left" w:leader="none" w:pos="3899"/>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34">
    <w:pPr>
      <w:tabs>
        <w:tab w:val="left" w:leader="none"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w:t>
    </w:r>
    <w:r w:rsidDel="00000000" w:rsidR="00000000" w:rsidRPr="00000000">
      <w:rPr>
        <w:sz w:val="20"/>
        <w:szCs w:val="20"/>
        <w:rtl w:val="0"/>
      </w:rPr>
      <w:t xml:space="preserve">23</w:t>
    </w:r>
    <w:r w:rsidDel="00000000" w:rsidR="00000000" w:rsidRPr="00000000">
      <w:rPr>
        <w:rtl w:val="0"/>
      </w:rPr>
    </w:r>
  </w:p>
  <w:p w:rsidR="00000000" w:rsidDel="00000000" w:rsidP="00000000" w:rsidRDefault="00000000" w:rsidRPr="00000000" w14:paraId="00000035">
    <w:pPr>
      <w:tabs>
        <w:tab w:val="left" w:leader="none" w:pos="3899"/>
      </w:tabs>
      <w:spacing w:after="0" w:lineRule="auto"/>
      <w:ind w:lef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u w:val="none"/>
        <w:vertAlign w:val="baseline"/>
      </w:rPr>
    </w:lvl>
    <w:lvl w:ilvl="2">
      <w:start w:val="1"/>
      <w:numFmt w:val="decimal"/>
      <w:lvlText w:val="%1.%2.%3"/>
      <w:lvlJc w:val="left"/>
      <w:pPr>
        <w:ind w:left="1440" w:hanging="720"/>
      </w:pPr>
      <w:rPr>
        <w:i w:val="0"/>
        <w:smallCaps w:val="0"/>
        <w:strike w:val="0"/>
        <w:u w:val="none"/>
        <w:vertAlign w:val="baseline"/>
      </w:rPr>
    </w:lvl>
    <w:lvl w:ilvl="3">
      <w:start w:val="1"/>
      <w:numFmt w:val="lowerLetter"/>
      <w:lvlText w:val="(%4)"/>
      <w:lvlJc w:val="left"/>
      <w:pPr>
        <w:ind w:left="1440" w:hanging="720"/>
      </w:pPr>
      <w:rPr>
        <w:rFonts w:ascii="Calibri" w:cs="Calibri" w:eastAsia="Calibri" w:hAnsi="Calibri"/>
        <w:i w:val="0"/>
        <w:smallCaps w:val="0"/>
        <w:strike w:val="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rPr>
      <w:rFonts w:ascii="Times New Roman" w:cs="Times New Roman" w:eastAsia="Times New Roman" w:hAnsi="Times New Roman"/>
    </w:rPr>
  </w:style>
  <w:style w:type="paragraph" w:styleId="Heading2">
    <w:name w:val="heading 2"/>
    <w:basedOn w:val="Normal"/>
    <w:next w:val="Normal"/>
    <w:pPr/>
    <w:rPr>
      <w:rFonts w:ascii="Times New Roman" w:cs="Times New Roman" w:eastAsia="Times New Roman" w:hAnsi="Times New Roman"/>
    </w:rPr>
  </w:style>
  <w:style w:type="paragraph" w:styleId="Heading3">
    <w:name w:val="heading 3"/>
    <w:basedOn w:val="Normal"/>
    <w:next w:val="Normal"/>
    <w:pPr/>
    <w:rPr>
      <w:rFonts w:ascii="Times New Roman" w:cs="Times New Roman" w:eastAsia="Times New Roman" w:hAnsi="Times New Roman"/>
    </w:rPr>
  </w:style>
  <w:style w:type="paragraph" w:styleId="Heading4">
    <w:name w:val="heading 4"/>
    <w:basedOn w:val="Normal"/>
    <w:next w:val="Normal"/>
    <w:pPr/>
    <w:rPr>
      <w:rFonts w:ascii="Times New Roman" w:cs="Times New Roman" w:eastAsia="Times New Roman" w:hAnsi="Times New Roman"/>
    </w:rPr>
  </w:style>
  <w:style w:type="paragraph" w:styleId="Heading5">
    <w:name w:val="heading 5"/>
    <w:basedOn w:val="Normal"/>
    <w:next w:val="Normal"/>
    <w:pPr/>
    <w:rPr>
      <w:rFonts w:ascii="Times New Roman" w:cs="Times New Roman" w:eastAsia="Times New Roman" w:hAnsi="Times New Roman"/>
    </w:rPr>
  </w:style>
  <w:style w:type="paragraph" w:styleId="Heading6">
    <w:name w:val="heading 6"/>
    <w:basedOn w:val="Normal"/>
    <w:next w:val="Normal"/>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